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55E" w:rsidRDefault="00111163"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59690</wp:posOffset>
                </wp:positionH>
                <wp:positionV relativeFrom="paragraph">
                  <wp:posOffset>0</wp:posOffset>
                </wp:positionV>
                <wp:extent cx="1980549" cy="504825"/>
                <wp:effectExtent l="0" t="0" r="1270" b="0"/>
                <wp:wrapThrough wrapText="bothSides">
                  <wp:wrapPolygon edited="1">
                    <wp:start x="0" y="0"/>
                    <wp:lineTo x="0" y="20377"/>
                    <wp:lineTo x="21406" y="20377"/>
                    <wp:lineTo x="21406" y="0"/>
                    <wp:lineTo x="0" y="0"/>
                  </wp:wrapPolygon>
                </wp:wrapThrough>
                <wp:docPr id="1" name="Рисунок 1" descr="Логотип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Логотип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1980549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4.70pt;mso-position-horizontal:absolute;mso-position-vertical-relative:text;margin-top:0.00pt;mso-position-vertical:absolute;width:155.95pt;height:39.75pt;mso-wrap-distance-left:9.00pt;mso-wrap-distance-top:0.00pt;mso-wrap-distance-right:9.00pt;mso-wrap-distance-bottom:0.00pt;" wrapcoords="0 0 0 94338 99102 94338 99102 0 0 0" stroked="f">
                <v:path textboxrect="0,0,0,0"/>
                <w10:wrap type="through"/>
                <v:imagedata r:id="rId9" o:title=""/>
              </v:shape>
            </w:pict>
          </mc:Fallback>
        </mc:AlternateContent>
      </w:r>
    </w:p>
    <w:p w:rsidR="0021655E" w:rsidRDefault="0021655E"/>
    <w:tbl>
      <w:tblPr>
        <w:tblStyle w:val="af8"/>
        <w:tblW w:w="10490" w:type="dxa"/>
        <w:tblLayout w:type="fixed"/>
        <w:tblLook w:val="04A0" w:firstRow="1" w:lastRow="0" w:firstColumn="1" w:lastColumn="0" w:noHBand="0" w:noVBand="1"/>
      </w:tblPr>
      <w:tblGrid>
        <w:gridCol w:w="5062"/>
        <w:gridCol w:w="2451"/>
        <w:gridCol w:w="2977"/>
      </w:tblGrid>
      <w:tr w:rsidR="0021655E">
        <w:tc>
          <w:tcPr>
            <w:tcW w:w="751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21655E" w:rsidRDefault="0021655E">
            <w:pPr>
              <w:jc w:val="center"/>
              <w:rPr>
                <w:b/>
                <w:sz w:val="28"/>
                <w:szCs w:val="28"/>
              </w:rPr>
            </w:pPr>
          </w:p>
          <w:p w:rsidR="0021655E" w:rsidRPr="008C0AA9" w:rsidRDefault="00111163">
            <w:pPr>
              <w:jc w:val="center"/>
              <w:rPr>
                <w:b/>
                <w:sz w:val="32"/>
                <w:szCs w:val="32"/>
              </w:rPr>
            </w:pPr>
            <w:r w:rsidRPr="008C0AA9">
              <w:rPr>
                <w:b/>
                <w:sz w:val="32"/>
                <w:szCs w:val="32"/>
              </w:rPr>
              <w:t>Ключевой информационный документ об условиях добровольного страхования</w:t>
            </w:r>
          </w:p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(в части страхования жизни, здоровья заемщика)</w:t>
            </w: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1111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подготовлен на основании </w:t>
            </w:r>
            <w:r>
              <w:rPr>
                <w:b/>
                <w:sz w:val="20"/>
                <w:szCs w:val="20"/>
              </w:rPr>
              <w:t>Правил комплексного ипотечного страхования (унифицированные правила страхования)</w:t>
            </w:r>
            <w:r>
              <w:rPr>
                <w:sz w:val="20"/>
                <w:szCs w:val="20"/>
              </w:rPr>
              <w:t xml:space="preserve"> Акционерного общества «Объединенная страховая компания», утверждённых Приказом Президента от </w:t>
            </w:r>
            <w:r w:rsidR="00067BFB" w:rsidRPr="00D82CF3">
              <w:rPr>
                <w:color w:val="000000" w:themeColor="text1"/>
                <w:sz w:val="20"/>
                <w:szCs w:val="20"/>
              </w:rPr>
              <w:t>12</w:t>
            </w:r>
            <w:r w:rsidRPr="00D82CF3">
              <w:rPr>
                <w:color w:val="000000" w:themeColor="text1"/>
                <w:sz w:val="20"/>
                <w:szCs w:val="20"/>
              </w:rPr>
              <w:t>.</w:t>
            </w:r>
            <w:r w:rsidR="00067BFB" w:rsidRPr="00D82CF3">
              <w:rPr>
                <w:color w:val="000000" w:themeColor="text1"/>
                <w:sz w:val="20"/>
                <w:szCs w:val="20"/>
              </w:rPr>
              <w:t>10</w:t>
            </w:r>
            <w:r w:rsidRPr="00D82CF3">
              <w:rPr>
                <w:color w:val="000000" w:themeColor="text1"/>
                <w:sz w:val="20"/>
                <w:szCs w:val="20"/>
              </w:rPr>
              <w:t>.2026 № С-</w:t>
            </w:r>
            <w:r w:rsidR="003F0D85" w:rsidRPr="00D82CF3">
              <w:rPr>
                <w:color w:val="000000" w:themeColor="text1"/>
                <w:sz w:val="20"/>
                <w:szCs w:val="20"/>
              </w:rPr>
              <w:t>457</w:t>
            </w:r>
            <w:r w:rsidRPr="00D82CF3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(далее - Правила страхования)</w:t>
            </w: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655E" w:rsidRDefault="00A57BDA">
            <w:pPr>
              <w:jc w:val="both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1562100" cy="1562100"/>
                  <wp:effectExtent l="0" t="0" r="0" b="0"/>
                  <wp:docPr id="2" name="Рисунок 2" descr="http://qrcoder.ru/code/?https%3A%2F%2Fosk-ins.ru%2Fupload_files%2Fkis_unificir_2026-10_874.pdf&amp;4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qrcoder.ru/code/?https%3A%2F%2Fosk-ins.ru%2Fupload_files%2Fkis_unificir_2026-10_874.pdf&amp;4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655E">
        <w:tc>
          <w:tcPr>
            <w:tcW w:w="1049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Страховщик:</w:t>
            </w:r>
            <w:r>
              <w:rPr>
                <w:sz w:val="20"/>
                <w:szCs w:val="20"/>
              </w:rPr>
              <w:t xml:space="preserve"> Акционерное общество «Объединенная страховая компания» (сокращенное наименование АО «ОСК»). Адрес: 443041, Самарская область, г. Самара, ул. Ленинская, д.168, оф.2, Тел. (846) 212-99-55. Сайт: </w:t>
            </w:r>
            <w:hyperlink r:id="rId11" w:tooltip="http://www.osk-ins.ru" w:history="1">
              <w:r>
                <w:rPr>
                  <w:rStyle w:val="afb"/>
                  <w:sz w:val="20"/>
                  <w:szCs w:val="20"/>
                </w:rPr>
                <w:t>www.osk-ins.ru</w:t>
              </w:r>
            </w:hyperlink>
          </w:p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</w:rPr>
              <w:t>. ЧТО ЗАСТРАХОВАНО?</w:t>
            </w:r>
          </w:p>
        </w:tc>
      </w:tr>
      <w:tr w:rsidR="0021655E"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Страховые риски, которые влияют на условия потребительского кредита (займа) или по которым кредитор является выгодоприобретателем (далее – </w:t>
            </w:r>
            <w:r>
              <w:rPr>
                <w:b/>
                <w:sz w:val="20"/>
                <w:szCs w:val="20"/>
              </w:rPr>
              <w:t>основные страховые риски</w:t>
            </w:r>
            <w:r>
              <w:rPr>
                <w:sz w:val="20"/>
                <w:szCs w:val="20"/>
              </w:rPr>
              <w:t>):</w:t>
            </w:r>
          </w:p>
          <w:p w:rsidR="0021655E" w:rsidRDefault="0021655E">
            <w:pPr>
              <w:rPr>
                <w:sz w:val="20"/>
                <w:szCs w:val="20"/>
              </w:rPr>
            </w:pPr>
          </w:p>
          <w:p w:rsidR="0021655E" w:rsidRDefault="00111163">
            <w:pPr>
              <w:pStyle w:val="afa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Смерть Застрахованного лица в результате несчастного случая или болезни</w:t>
            </w:r>
          </w:p>
          <w:p w:rsidR="0021655E" w:rsidRDefault="00111163">
            <w:pPr>
              <w:pStyle w:val="afa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Установление Застрахованному лицу инвалидности I или II группы в результате несчастного случая или болезни</w:t>
            </w:r>
          </w:p>
          <w:p w:rsidR="0021655E" w:rsidRDefault="0021655E">
            <w:pPr>
              <w:pStyle w:val="afa"/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21655E">
            <w:pPr>
              <w:jc w:val="center"/>
              <w:rPr>
                <w:sz w:val="20"/>
                <w:szCs w:val="20"/>
              </w:rPr>
            </w:pPr>
          </w:p>
          <w:p w:rsidR="0021655E" w:rsidRDefault="00111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___________________________ рублей - </w:t>
            </w:r>
            <w:r>
              <w:rPr>
                <w:b/>
                <w:sz w:val="20"/>
                <w:szCs w:val="20"/>
              </w:rPr>
              <w:t>страховая премия за основные страховые риски</w:t>
            </w:r>
          </w:p>
        </w:tc>
      </w:tr>
      <w:tr w:rsidR="0021655E">
        <w:tc>
          <w:tcPr>
            <w:tcW w:w="10490" w:type="dxa"/>
            <w:gridSpan w:val="3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5E" w:rsidRDefault="0011116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основным страховым рискам Выгодоприобретателем является: _________________________________</w:t>
            </w:r>
            <w:r>
              <w:rPr>
                <w:sz w:val="20"/>
                <w:szCs w:val="20"/>
              </w:rPr>
              <w:br/>
            </w:r>
          </w:p>
        </w:tc>
      </w:tr>
      <w:tr w:rsidR="0021655E">
        <w:trPr>
          <w:trHeight w:val="215"/>
        </w:trPr>
        <w:tc>
          <w:tcPr>
            <w:tcW w:w="1049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21655E" w:rsidRDefault="0021655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II</w:t>
            </w:r>
            <w:r>
              <w:rPr>
                <w:b/>
                <w:sz w:val="20"/>
                <w:szCs w:val="20"/>
              </w:rPr>
              <w:t>. ЧТО НЕ ЗАСТРАХОВАНО?</w:t>
            </w:r>
          </w:p>
        </w:tc>
      </w:tr>
      <w:tr w:rsidR="0021655E"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:rsidR="0021655E" w:rsidRDefault="00111163">
            <w:pPr>
              <w:tabs>
                <w:tab w:val="left" w:pos="709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соответствии с Правилами страхования происшедшие события, являются страховыми при условии, что они произошли не вследствие следующих событий:</w:t>
            </w:r>
          </w:p>
          <w:p w:rsidR="0021655E" w:rsidRDefault="00111163" w:rsidP="00B353EE">
            <w:pPr>
              <w:pStyle w:val="afa"/>
              <w:widowControl w:val="0"/>
              <w:numPr>
                <w:ilvl w:val="0"/>
                <w:numId w:val="13"/>
              </w:numPr>
              <w:tabs>
                <w:tab w:val="left" w:pos="170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События,</w:t>
            </w:r>
            <w:r w:rsidR="00B353EE">
              <w:t xml:space="preserve"> </w:t>
            </w:r>
            <w:r w:rsidR="00B353EE" w:rsidRPr="00D82CF3">
              <w:rPr>
                <w:color w:val="000000" w:themeColor="text1"/>
                <w:sz w:val="20"/>
                <w:szCs w:val="20"/>
              </w:rPr>
              <w:t>наступившие вследствие нахождения Застрахованного лица в состоянии алкогольного, наркотического, токсического опьянения (отравления), или при наличии причинно-следственной связи с алкогольным, наркотическим, токсическим опьянением (отравлением), подтвержденными документами компетентных органов</w:t>
            </w:r>
            <w:r w:rsidRPr="00D82CF3">
              <w:rPr>
                <w:color w:val="000000" w:themeColor="text1"/>
                <w:sz w:val="20"/>
                <w:szCs w:val="20"/>
              </w:rPr>
              <w:t xml:space="preserve"> (п. 2.4.1.</w:t>
            </w:r>
            <w:r w:rsidR="00B353EE" w:rsidRPr="00D82CF3">
              <w:rPr>
                <w:color w:val="000000" w:themeColor="text1"/>
                <w:sz w:val="20"/>
                <w:szCs w:val="20"/>
              </w:rPr>
              <w:t>9</w:t>
            </w:r>
            <w:r w:rsidRPr="00D82CF3">
              <w:rPr>
                <w:color w:val="000000" w:themeColor="text1"/>
                <w:sz w:val="20"/>
                <w:szCs w:val="20"/>
              </w:rPr>
              <w:t xml:space="preserve">. Правил </w:t>
            </w:r>
            <w:r>
              <w:rPr>
                <w:sz w:val="20"/>
                <w:szCs w:val="20"/>
              </w:rPr>
              <w:t>страхования).</w:t>
            </w:r>
          </w:p>
          <w:p w:rsidR="0021655E" w:rsidRDefault="00111163">
            <w:pPr>
              <w:pStyle w:val="afa"/>
              <w:widowControl w:val="0"/>
              <w:numPr>
                <w:ilvl w:val="0"/>
                <w:numId w:val="13"/>
              </w:numPr>
              <w:tabs>
                <w:tab w:val="left" w:pos="318"/>
                <w:tab w:val="left" w:pos="170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Воздействия ядерного взрыва, радиации или радиоактивного заражения (п. 2.2.1 Правил страхования).</w:t>
            </w:r>
          </w:p>
          <w:p w:rsidR="0021655E" w:rsidRDefault="00111163">
            <w:pPr>
              <w:pStyle w:val="afa"/>
              <w:widowControl w:val="0"/>
              <w:numPr>
                <w:ilvl w:val="0"/>
                <w:numId w:val="13"/>
              </w:numPr>
              <w:tabs>
                <w:tab w:val="left" w:pos="318"/>
                <w:tab w:val="left" w:pos="170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Военных действий, а также маневров или иных военных мероприятий (п. 2.2.2 Правил страхования).</w:t>
            </w:r>
          </w:p>
          <w:p w:rsidR="0021655E" w:rsidRDefault="00111163">
            <w:pPr>
              <w:pStyle w:val="afa"/>
              <w:widowControl w:val="0"/>
              <w:numPr>
                <w:ilvl w:val="0"/>
                <w:numId w:val="13"/>
              </w:numPr>
              <w:tabs>
                <w:tab w:val="left" w:pos="318"/>
                <w:tab w:val="left" w:pos="170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Гражданской войны, народных волнений всякого рода или забастовок (п. 2.2.3 Правил страхования).</w:t>
            </w:r>
          </w:p>
          <w:p w:rsidR="0021655E" w:rsidRDefault="0021655E">
            <w:pPr>
              <w:pStyle w:val="afa"/>
              <w:widowControl w:val="0"/>
              <w:tabs>
                <w:tab w:val="left" w:pos="318"/>
                <w:tab w:val="left" w:pos="1701"/>
              </w:tabs>
              <w:ind w:left="390"/>
              <w:jc w:val="both"/>
              <w:rPr>
                <w:sz w:val="20"/>
                <w:szCs w:val="20"/>
              </w:rPr>
            </w:pPr>
          </w:p>
          <w:p w:rsidR="0021655E" w:rsidRDefault="00111163">
            <w:pPr>
              <w:widowControl w:val="0"/>
              <w:tabs>
                <w:tab w:val="left" w:pos="318"/>
                <w:tab w:val="left" w:pos="170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Неисполнение страхователем (выгодоприобретателем) обязанности незамедлительно уведомить страховщика о наступлении страхового случая дает страховщику право отказать в выплате страхового 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возмещение) (ст. 961 ГК РФ).</w:t>
            </w:r>
          </w:p>
        </w:tc>
      </w:tr>
      <w:tr w:rsidR="0021655E">
        <w:trPr>
          <w:trHeight w:val="186"/>
        </w:trPr>
        <w:tc>
          <w:tcPr>
            <w:tcW w:w="10490" w:type="dxa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center"/>
          </w:tcPr>
          <w:p w:rsidR="0021655E" w:rsidRDefault="0021655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III</w:t>
            </w:r>
            <w:r>
              <w:rPr>
                <w:b/>
                <w:sz w:val="20"/>
                <w:szCs w:val="20"/>
              </w:rPr>
              <w:t>. КАК ПОЛУЧИТЬ СТРАХОВУЮ ВЫПЛАТУ?</w:t>
            </w:r>
          </w:p>
        </w:tc>
      </w:tr>
      <w:tr w:rsidR="0021655E"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Для получения страховой выплаты Страхователь (Застрахованное лицо) или Выгодоприобретатель должны представить Страховщику заявление на страховую выплату, Договор страхования, а также: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- Документы, удостоверяющие личность лица, обратившегося за страховой выплатой. Если с заявлением на страховую выплату (или за страховой выплатой) обращается представитель Страхователя (Застрахованного лица, Выгодоприобретателя), то у него должна быть надлежащим образом оформленная доверенность, подтверждающая полномочия на подписание заявления и/или на получение страховой выплаты, а также документ, удостоверяющий его личность (п. 8.3.1 Правил страхования).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- Согласие на обработку персональных данных (в случаях, когда в соответствии с законодательством Российской Федерации Страховщик не вправе обрабатывать персональные данные без такого согласия) (п. 8.3.2 Правил страхования).</w:t>
            </w:r>
          </w:p>
          <w:p w:rsidR="0021655E" w:rsidRDefault="00111163">
            <w:pPr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 xml:space="preserve">- </w:t>
            </w:r>
            <w:r>
              <w:rPr>
                <w:rFonts w:cs="Tahoma"/>
                <w:color w:val="000000" w:themeColor="text1"/>
                <w:sz w:val="20"/>
                <w:szCs w:val="20"/>
              </w:rPr>
              <w:t>Письменное уведомление/справка Залогодержателя (если он является Выгодоприобретателем-1) о размере денежного обязательства по кредитному договору / договору займа, обеспеченного ипотекой, на дату направления уведомления/справки (или на иную дату, предусмотренную Договором страхования) с указанием получателя платежа и его банковских реквизитов либо уведомление об отказе Залогодержателя (если он является Выгодприобретателем-1) от получения страховой выплаты (в этом случае страховая выплата производится согласно пункту 8.9 настоящих Правил) (п. 8.3.3 Правил страхования).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b/>
                <w:color w:val="000000"/>
                <w:sz w:val="20"/>
                <w:szCs w:val="20"/>
              </w:rPr>
            </w:pPr>
            <w:r>
              <w:rPr>
                <w:rFonts w:cs="Tahoma"/>
                <w:b/>
                <w:color w:val="000000"/>
                <w:sz w:val="20"/>
                <w:szCs w:val="20"/>
              </w:rPr>
              <w:lastRenderedPageBreak/>
              <w:t>В случае смерти Застрахованного лица (п. 8.3.4 Правил страхования):</w:t>
            </w:r>
          </w:p>
          <w:p w:rsidR="0021655E" w:rsidRDefault="00111163">
            <w:pPr>
              <w:widowControl w:val="0"/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1. Свидетельство органа ЗАГС о смерти Застрахованного лица или его нотариально заверенная копия.</w:t>
            </w:r>
          </w:p>
          <w:p w:rsidR="0021655E" w:rsidRDefault="00111163">
            <w:pPr>
              <w:widowControl w:val="0"/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2. Если страховая выплата производится наследникам Застрахованного лица – документ, подтверждающий вступление наследников Застрахованного лица в права наследования на страховую выплату, свидетельство о праве на наследство.</w:t>
            </w:r>
          </w:p>
          <w:p w:rsidR="0021655E" w:rsidRDefault="00111163">
            <w:pPr>
              <w:widowControl w:val="0"/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3. Документы (или их копии, заверенные в порядке, запрошенном Страховщиком) из медицинского учреждения и/или компетентных органов, подтверждающие диагноз, причину смерти Застрахованного лица и/или обстоятельства ее наступления.</w:t>
            </w:r>
          </w:p>
          <w:p w:rsidR="0021655E" w:rsidRDefault="00111163">
            <w:pPr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4. Если Застрахованное лицо признано умершим в судебном порядке – соответствующее решение суда и документы из компетентных органов, позволяющие сделать однозначный вывод о дате фактического наступления смерти, причине и обстоятельствах смерти Застрахованного лица.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b/>
                <w:color w:val="000000"/>
                <w:sz w:val="20"/>
                <w:szCs w:val="20"/>
              </w:rPr>
            </w:pPr>
            <w:r>
              <w:rPr>
                <w:rFonts w:cs="Tahoma"/>
                <w:b/>
                <w:color w:val="000000"/>
                <w:sz w:val="20"/>
                <w:szCs w:val="20"/>
              </w:rPr>
              <w:t>В случае установления Застрахованному лицу I или II группы инвалидности (п. 8.3.5 Правил страхования):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1. Документы из медицинского учреждения, подтверждающие факт обращения за медицинской помощью в результате несчастного случая или заболевания, установленный диагноз, дату его установления, листок нетрудоспособности, содержащий отметку об установлении I или II группы инвалидности.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2. Справку (заключение) соответствующего учреждения, определенного действующим законодательством Российской Федерации, об установлении инвалидности I или II группы или ее заверенную копию, а также направление на медико-социальную экспертизу и протокол медико-социальной экспертизы и акт освидетельствования медико-социальной экспертизы.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3. Документы из медицинского учреждения, подтверждающие диагноз заболевания, в результате которого была установлена инвалидность Застрахованному лицу, дату его первичного установления Застрахованному лицу и дату установления диагноза обострения хронического заболевания у Застрахованного лица.</w:t>
            </w:r>
          </w:p>
          <w:p w:rsidR="0021655E" w:rsidRDefault="00111163">
            <w:pPr>
              <w:widowControl w:val="0"/>
              <w:tabs>
                <w:tab w:val="left" w:pos="1134"/>
              </w:tabs>
              <w:jc w:val="both"/>
              <w:rPr>
                <w:rFonts w:cs="Tahoma"/>
                <w:color w:val="000000"/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>По требованию Страховщика – документы, уточняющие факт, причины, обстоятельства и последствия причинения вреда здоровью Застрахованного лица или его смерти (п. 8.3.6 Правил страхования):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ind w:left="601" w:hanging="283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>выписки из медицинских карт амбулаторного и/или стационарного больного (истории болезни) с листом уточненных диагнозов за период, предшествующий событию и заключению договора – всегда, когда причиной события является заболевание, выписной эпикриз из стационара, копия истории болезни стационарного больного, сведения (перечень) об оказанной в рамках территориальной программы обязательного медицинского страхования (ОМС) медицинской помощи, извещение ф. 090/у о больном с впервые в жизни установленном диагнозе злокачественного новообразования – если причиной события является онкологическое заболевание,  выписка из популяционного канцер-регистра – если причиной события является онкологическое заболевание, справка из онкологического диспансера/противотуберкулезного диспансера/центра по борьбе со СПИД/инфекциониста (гепатит/цирроз печени) с датами установления диагноза и постановки на учет – если причиной события являются указанные заболевания; данные соответствующих лабораторных и инструментальных методов исследования с указанием дат обращений и диагнозов за весь период наблюдения из всех поликлиник, в которых наблюдался Застрахованный, или заверенные медицинским учреждением копии амбулаторных карт за весь период наблюдения, а также направление на медико-социальную экспертизу;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ind w:left="601" w:hanging="283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>данные о состоянии здоровья Застрахованного лица, установленные при профилактических ежегодных медицинских осмотрах, профессиональных медицинских осмотрах, медицинских осмотрах при приеме на работу, диспансерном наблюдении Застрахованного лица;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ind w:left="601" w:hanging="283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>документы из компетентных органов по факту и обстоятельствам произошедшего несчастного случая (протоколы об административных правонарушениях, акт о несчастном случае на производстве по форме Н-1);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ind w:left="601" w:hanging="283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 xml:space="preserve">постановление о возбуждении уголовного дела (о приостановлении уголовного дела) / об отказе в возбуждении уголовного дела / решение суда – всегда при ДТП и криминальном характере события; 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ind w:left="601" w:hanging="283"/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 xml:space="preserve">водительское удостоверение (всегда, если событие в результате ДТП и водитель – Страхователь (Застрахованное лицо); </w:t>
            </w:r>
          </w:p>
          <w:p w:rsidR="0021655E" w:rsidRDefault="00111163">
            <w:pPr>
              <w:widowControl w:val="0"/>
              <w:numPr>
                <w:ilvl w:val="2"/>
                <w:numId w:val="15"/>
              </w:numPr>
              <w:tabs>
                <w:tab w:val="left" w:pos="459"/>
              </w:tabs>
              <w:ind w:left="601" w:hanging="283"/>
              <w:jc w:val="both"/>
              <w:rPr>
                <w:rFonts w:cs="Tahoma"/>
                <w:color w:val="000000" w:themeColor="text1"/>
                <w:sz w:val="20"/>
                <w:szCs w:val="20"/>
              </w:rPr>
            </w:pPr>
            <w:r>
              <w:rPr>
                <w:rFonts w:cs="Tahoma"/>
                <w:color w:val="000000" w:themeColor="text1"/>
                <w:sz w:val="20"/>
                <w:szCs w:val="20"/>
              </w:rPr>
              <w:t xml:space="preserve">   результаты судебно-медицинского исследования, судебно-химического исследования на наличие опьянения/ акт освидетельствования на состояние опьянения, решения суда, протокол осмотра места ДТП (если событие в результате ДТП и водитель – Страхователь (Застрахованное лицо).</w:t>
            </w:r>
          </w:p>
          <w:p w:rsidR="0021655E" w:rsidRDefault="0021655E">
            <w:pPr>
              <w:widowControl w:val="0"/>
              <w:tabs>
                <w:tab w:val="left" w:pos="459"/>
              </w:tabs>
              <w:ind w:left="459"/>
              <w:jc w:val="both"/>
              <w:rPr>
                <w:rFonts w:cs="Tahoma"/>
                <w:color w:val="000000"/>
                <w:sz w:val="20"/>
                <w:szCs w:val="20"/>
              </w:rPr>
            </w:pPr>
          </w:p>
          <w:p w:rsidR="0021655E" w:rsidRDefault="00111163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52"/>
              <w:jc w:val="both"/>
              <w:rPr>
                <w:sz w:val="20"/>
                <w:szCs w:val="20"/>
              </w:rPr>
            </w:pPr>
            <w:r>
              <w:rPr>
                <w:rFonts w:cs="Tahoma"/>
                <w:color w:val="000000"/>
                <w:sz w:val="20"/>
                <w:szCs w:val="20"/>
              </w:rPr>
              <w:t xml:space="preserve">Страховая выплата осуществляется в течение </w:t>
            </w:r>
            <w:r>
              <w:rPr>
                <w:rFonts w:cs="Tahoma"/>
                <w:b/>
                <w:color w:val="000000"/>
                <w:sz w:val="20"/>
                <w:szCs w:val="20"/>
              </w:rPr>
              <w:t>30 календарных дней</w:t>
            </w:r>
            <w:r>
              <w:rPr>
                <w:rFonts w:cs="Tahoma"/>
                <w:color w:val="000000"/>
                <w:sz w:val="20"/>
                <w:szCs w:val="20"/>
              </w:rPr>
              <w:t xml:space="preserve"> со дня представления указанных документов.</w:t>
            </w:r>
          </w:p>
        </w:tc>
      </w:tr>
      <w:tr w:rsidR="0021655E">
        <w:tc>
          <w:tcPr>
            <w:tcW w:w="50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IV</w:t>
            </w:r>
            <w:r>
              <w:rPr>
                <w:b/>
                <w:sz w:val="20"/>
                <w:szCs w:val="20"/>
              </w:rPr>
              <w:t>. КАК ВЕРНУТЬ СТРАХОВУЮ ПРЕМИЮ?</w:t>
            </w:r>
          </w:p>
        </w:tc>
      </w:tr>
      <w:tr w:rsidR="0021655E">
        <w:trPr>
          <w:trHeight w:val="1192"/>
        </w:trPr>
        <w:tc>
          <w:tcPr>
            <w:tcW w:w="10490" w:type="dxa"/>
            <w:gridSpan w:val="3"/>
          </w:tcPr>
          <w:tbl>
            <w:tblPr>
              <w:tblW w:w="9973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9829"/>
              <w:gridCol w:w="144"/>
            </w:tblGrid>
            <w:tr w:rsidR="0021655E">
              <w:tc>
                <w:tcPr>
                  <w:tcW w:w="9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tbl>
                  <w:tblPr>
                    <w:tblW w:w="10310" w:type="dxa"/>
                    <w:tblLayout w:type="fixed"/>
                    <w:tblCellMar>
                      <w:top w:w="102" w:type="dxa"/>
                      <w:left w:w="62" w:type="dxa"/>
                      <w:bottom w:w="102" w:type="dxa"/>
                      <w:right w:w="62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490"/>
                    <w:gridCol w:w="4820"/>
                  </w:tblGrid>
                  <w:tr w:rsidR="0021655E">
                    <w:tc>
                      <w:tcPr>
                        <w:tcW w:w="54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111163">
                        <w:pPr>
                          <w:jc w:val="center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>Основания для возврата страховой премии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111163">
                        <w:pPr>
                          <w:jc w:val="center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>Сумма возврата страховой премии</w:t>
                        </w:r>
                      </w:p>
                    </w:tc>
                  </w:tr>
                  <w:tr w:rsidR="0021655E">
                    <w:tc>
                      <w:tcPr>
                        <w:tcW w:w="54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111163">
                        <w:pPr>
                          <w:jc w:val="both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 xml:space="preserve">Отказ от договора добровольного страхования в течение </w:t>
                        </w:r>
                        <w:r>
                          <w:rPr>
                            <w:rFonts w:cs="Franklin Gothic Medium"/>
                            <w:color w:val="000000" w:themeColor="text1"/>
                            <w:sz w:val="20"/>
                            <w:szCs w:val="20"/>
                            <w:lang w:eastAsia="en-US"/>
                          </w:rPr>
                          <w:t>30</w:t>
                        </w: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 xml:space="preserve"> календарных дней со дня его заключения (при отсутствии в данном периоде событий, имеющих признаки страхового случая)</w:t>
                        </w:r>
                      </w:p>
                    </w:tc>
                    <w:tc>
                      <w:tcPr>
                        <w:tcW w:w="48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1655E" w:rsidRDefault="00111163">
                        <w:pPr>
                          <w:jc w:val="center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>100% страховой премии</w:t>
                        </w:r>
                      </w:p>
                    </w:tc>
                  </w:tr>
                  <w:tr w:rsidR="0021655E">
                    <w:tc>
                      <w:tcPr>
                        <w:tcW w:w="54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111163">
                        <w:pPr>
                          <w:jc w:val="both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>Отказ от договора добровольного страхования в случае ненадлежащего информирования об условиях страхования</w:t>
                        </w:r>
                      </w:p>
                    </w:tc>
                    <w:tc>
                      <w:tcPr>
                        <w:tcW w:w="48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21655E" w:rsidRDefault="00111163">
                        <w:pPr>
                          <w:ind w:right="505"/>
                          <w:jc w:val="center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t xml:space="preserve">100% страховой премии за вычетом части страховой премии, исчисляемой </w:t>
                        </w: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lastRenderedPageBreak/>
                          <w:t>пропорционально времени, в течение которого действовало страхование</w:t>
                        </w:r>
                      </w:p>
                    </w:tc>
                  </w:tr>
                  <w:tr w:rsidR="0021655E">
                    <w:trPr>
                      <w:trHeight w:val="241"/>
                    </w:trPr>
                    <w:tc>
                      <w:tcPr>
                        <w:tcW w:w="549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111163">
                        <w:pPr>
                          <w:jc w:val="both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  <w:r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  <w:lastRenderedPageBreak/>
                          <w:t>Полное досрочное погашение кредита (займа)</w:t>
                        </w:r>
                      </w:p>
                    </w:tc>
                    <w:tc>
                      <w:tcPr>
                        <w:tcW w:w="48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1655E" w:rsidRDefault="0021655E">
                        <w:pPr>
                          <w:ind w:right="505"/>
                          <w:jc w:val="both"/>
                          <w:rPr>
                            <w:rFonts w:cs="Franklin Gothic Medium"/>
                            <w:sz w:val="20"/>
                            <w:szCs w:val="20"/>
                            <w:lang w:eastAsia="en-US"/>
                          </w:rPr>
                        </w:pPr>
                      </w:p>
                    </w:tc>
                  </w:tr>
                </w:tbl>
                <w:p w:rsidR="0021655E" w:rsidRDefault="0021655E">
                  <w:pPr>
                    <w:jc w:val="center"/>
                    <w:rPr>
                      <w:rFonts w:cs="Franklin Gothic Medium"/>
                      <w:sz w:val="20"/>
                      <w:szCs w:val="20"/>
                      <w:lang w:eastAsia="en-US"/>
                    </w:rPr>
                  </w:pPr>
                </w:p>
              </w:tc>
              <w:tc>
                <w:tcPr>
                  <w:tcW w:w="1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655E" w:rsidRDefault="0021655E">
                  <w:pPr>
                    <w:jc w:val="center"/>
                    <w:rPr>
                      <w:rFonts w:cs="Franklin Gothic Medium"/>
                      <w:sz w:val="20"/>
                      <w:szCs w:val="20"/>
                      <w:lang w:eastAsia="en-US"/>
                    </w:rPr>
                  </w:pPr>
                </w:p>
              </w:tc>
            </w:tr>
          </w:tbl>
          <w:p w:rsidR="0021655E" w:rsidRDefault="0021655E">
            <w:pPr>
              <w:rPr>
                <w:sz w:val="20"/>
                <w:szCs w:val="20"/>
              </w:rPr>
            </w:pPr>
          </w:p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иных случаях возврат страховой премии не осуществляется.</w:t>
            </w:r>
          </w:p>
        </w:tc>
      </w:tr>
      <w:tr w:rsidR="0021655E"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Отказ от страхования возможен в отношении всех страховых рисков.</w:t>
            </w:r>
          </w:p>
          <w:p w:rsidR="0021655E" w:rsidRDefault="0021655E">
            <w:pPr>
              <w:rPr>
                <w:sz w:val="20"/>
                <w:szCs w:val="20"/>
              </w:rPr>
            </w:pPr>
          </w:p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Возврат страховой премии осуществляется в течение 7 рабочих дней со дня получения соответствующего заявления.</w:t>
            </w:r>
          </w:p>
          <w:p w:rsidR="0021655E" w:rsidRDefault="0021655E">
            <w:pPr>
              <w:jc w:val="both"/>
              <w:rPr>
                <w:sz w:val="20"/>
                <w:szCs w:val="20"/>
              </w:rPr>
            </w:pPr>
          </w:p>
        </w:tc>
      </w:tr>
      <w:tr w:rsidR="0021655E">
        <w:trPr>
          <w:trHeight w:val="92"/>
        </w:trPr>
        <w:tc>
          <w:tcPr>
            <w:tcW w:w="50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V</w:t>
            </w:r>
            <w:r>
              <w:rPr>
                <w:b/>
                <w:sz w:val="20"/>
                <w:szCs w:val="20"/>
              </w:rPr>
              <w:t>. КАК ПОВЛИЯЕТ ОТКАЗ ОТ СТРАХОВАНИЯ НА КРЕДИТ (ЗАЕМ)?</w:t>
            </w:r>
          </w:p>
        </w:tc>
      </w:tr>
      <w:tr w:rsidR="0021655E">
        <w:trPr>
          <w:trHeight w:val="534"/>
        </w:trPr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:rsidR="0021655E" w:rsidRDefault="0011116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отказе от договора страхования в части страхования основных страховых рисков по истечении 30 календарных дней процентная ставка по Кредиту может быть увеличена в соответствии с условиями Кредитного договора (займа).</w:t>
            </w:r>
          </w:p>
        </w:tc>
      </w:tr>
      <w:tr w:rsidR="0021655E">
        <w:tc>
          <w:tcPr>
            <w:tcW w:w="50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VI</w:t>
            </w:r>
            <w:r>
              <w:rPr>
                <w:b/>
                <w:sz w:val="20"/>
                <w:szCs w:val="20"/>
              </w:rPr>
              <w:t>. КУДА ОБРАЩАТЬСЯ?</w:t>
            </w:r>
          </w:p>
        </w:tc>
      </w:tr>
      <w:tr w:rsidR="0021655E">
        <w:tc>
          <w:tcPr>
            <w:tcW w:w="10490" w:type="dxa"/>
            <w:gridSpan w:val="3"/>
          </w:tcPr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Заявления о страховой выплате, об отказе от страхования, о возврате страховой премии, иные сообщения могут быть направлены</w:t>
            </w:r>
          </w:p>
        </w:tc>
      </w:tr>
      <w:tr w:rsidR="0021655E">
        <w:trPr>
          <w:trHeight w:val="321"/>
        </w:trPr>
        <w:tc>
          <w:tcPr>
            <w:tcW w:w="5062" w:type="dxa"/>
            <w:tcBorders>
              <w:bottom w:val="single" w:sz="4" w:space="0" w:color="auto"/>
            </w:tcBorders>
          </w:tcPr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Страховщику по адресу:</w:t>
            </w:r>
          </w:p>
        </w:tc>
        <w:tc>
          <w:tcPr>
            <w:tcW w:w="5428" w:type="dxa"/>
            <w:gridSpan w:val="2"/>
            <w:tcBorders>
              <w:bottom w:val="single" w:sz="4" w:space="0" w:color="auto"/>
            </w:tcBorders>
          </w:tcPr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443041, Самарская область, г. Самара, ул. Ленинская, д.168, оф.2</w:t>
            </w:r>
          </w:p>
        </w:tc>
      </w:tr>
      <w:tr w:rsidR="0021655E">
        <w:trPr>
          <w:trHeight w:val="495"/>
        </w:trPr>
        <w:tc>
          <w:tcPr>
            <w:tcW w:w="5062" w:type="dxa"/>
            <w:tcBorders>
              <w:bottom w:val="single" w:sz="4" w:space="0" w:color="auto"/>
            </w:tcBorders>
          </w:tcPr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Кредитору по адресу:</w:t>
            </w:r>
          </w:p>
        </w:tc>
        <w:tc>
          <w:tcPr>
            <w:tcW w:w="5428" w:type="dxa"/>
            <w:gridSpan w:val="2"/>
            <w:tcBorders>
              <w:bottom w:val="single" w:sz="4" w:space="0" w:color="auto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49"/>
        </w:trPr>
        <w:tc>
          <w:tcPr>
            <w:tcW w:w="506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  <w:tc>
          <w:tcPr>
            <w:tcW w:w="5428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21655E" w:rsidRDefault="0021655E">
            <w:pPr>
              <w:rPr>
                <w:sz w:val="20"/>
                <w:szCs w:val="20"/>
              </w:rPr>
            </w:pPr>
          </w:p>
        </w:tc>
      </w:tr>
      <w:tr w:rsidR="0021655E">
        <w:trPr>
          <w:trHeight w:val="331"/>
        </w:trPr>
        <w:tc>
          <w:tcPr>
            <w:tcW w:w="10490" w:type="dxa"/>
            <w:gridSpan w:val="3"/>
            <w:tcBorders>
              <w:top w:val="single" w:sz="4" w:space="0" w:color="auto"/>
            </w:tcBorders>
            <w:vAlign w:val="center"/>
          </w:tcPr>
          <w:p w:rsidR="0021655E" w:rsidRDefault="0011116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>
              <w:rPr>
                <w:b/>
                <w:sz w:val="20"/>
                <w:szCs w:val="20"/>
                <w:lang w:val="en-US"/>
              </w:rPr>
              <w:t>VII</w:t>
            </w:r>
            <w:r>
              <w:rPr>
                <w:b/>
                <w:sz w:val="20"/>
                <w:szCs w:val="20"/>
              </w:rPr>
              <w:t>. КАК УРЕГУЛИРОВАТЬ СПОР ДО СУДА?</w:t>
            </w:r>
          </w:p>
        </w:tc>
      </w:tr>
      <w:tr w:rsidR="0021655E">
        <w:tc>
          <w:tcPr>
            <w:tcW w:w="10490" w:type="dxa"/>
            <w:gridSpan w:val="3"/>
          </w:tcPr>
          <w:p w:rsidR="0021655E" w:rsidRDefault="00111163">
            <w:pPr>
              <w:pStyle w:val="af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Направить страховщику заявление (претензию) в письменной форме.</w:t>
            </w:r>
          </w:p>
          <w:p w:rsidR="0021655E" w:rsidRDefault="00111163">
            <w:pPr>
              <w:pStyle w:val="afa"/>
              <w:numPr>
                <w:ilvl w:val="0"/>
                <w:numId w:val="9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Если страховщик не удовлетворил заявление (претензию), при этом размер требований не превышает 500 000,00 рублей, до обращения в суд необходимо обратиться к уполномоченному по правам потребителей финансовых услуг:</w:t>
            </w:r>
          </w:p>
          <w:p w:rsidR="0021655E" w:rsidRDefault="00111163">
            <w:pPr>
              <w:pStyle w:val="afa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сайт</w:t>
            </w:r>
            <w:r>
              <w:rPr>
                <w:sz w:val="20"/>
                <w:szCs w:val="20"/>
              </w:rPr>
              <w:t xml:space="preserve">: </w:t>
            </w:r>
            <w:hyperlink r:id="rId12" w:tooltip="http://www.finombudsman.ru" w:history="1">
              <w:r>
                <w:rPr>
                  <w:rStyle w:val="afb"/>
                  <w:sz w:val="20"/>
                  <w:szCs w:val="20"/>
                  <w:lang w:val="en-US"/>
                </w:rPr>
                <w:t>www</w:t>
              </w:r>
              <w:r>
                <w:rPr>
                  <w:rStyle w:val="afb"/>
                  <w:sz w:val="20"/>
                  <w:szCs w:val="20"/>
                </w:rPr>
                <w:t>.</w:t>
              </w:r>
              <w:r>
                <w:rPr>
                  <w:rStyle w:val="afb"/>
                  <w:sz w:val="20"/>
                  <w:szCs w:val="20"/>
                  <w:lang w:val="en-US"/>
                </w:rPr>
                <w:t>finombudsman</w:t>
              </w:r>
              <w:r>
                <w:rPr>
                  <w:rStyle w:val="afb"/>
                  <w:sz w:val="20"/>
                  <w:szCs w:val="20"/>
                </w:rPr>
                <w:t>.</w:t>
              </w:r>
              <w:r>
                <w:rPr>
                  <w:rStyle w:val="afb"/>
                  <w:sz w:val="20"/>
                  <w:szCs w:val="20"/>
                  <w:lang w:val="en-US"/>
                </w:rPr>
                <w:t>ru</w:t>
              </w:r>
            </w:hyperlink>
          </w:p>
          <w:p w:rsidR="0021655E" w:rsidRDefault="00111163">
            <w:pPr>
              <w:pStyle w:val="afa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адрес</w:t>
            </w:r>
            <w:r>
              <w:rPr>
                <w:sz w:val="20"/>
                <w:szCs w:val="20"/>
              </w:rPr>
              <w:t>: 119017, г. Москва, Старомонетный пер, дом 3.</w:t>
            </w:r>
          </w:p>
          <w:p w:rsidR="0021655E" w:rsidRDefault="001111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Рассмотрение уполномоченным по правам потребителей финансовых услуг обращения потребителя финансовых услуг осуществляются бесплатно.</w:t>
            </w:r>
          </w:p>
        </w:tc>
      </w:tr>
    </w:tbl>
    <w:p w:rsidR="0021655E" w:rsidRDefault="0021655E"/>
    <w:sectPr w:rsidR="0021655E">
      <w:pgSz w:w="11906" w:h="16838"/>
      <w:pgMar w:top="284" w:right="851" w:bottom="567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3DEE" w:rsidRDefault="00733DEE">
      <w:r>
        <w:separator/>
      </w:r>
    </w:p>
  </w:endnote>
  <w:endnote w:type="continuationSeparator" w:id="0">
    <w:p w:rsidR="00733DEE" w:rsidRDefault="00733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3DEE" w:rsidRDefault="00733DEE">
      <w:r>
        <w:separator/>
      </w:r>
    </w:p>
  </w:footnote>
  <w:footnote w:type="continuationSeparator" w:id="0">
    <w:p w:rsidR="00733DEE" w:rsidRDefault="00733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C7C46"/>
    <w:multiLevelType w:val="hybridMultilevel"/>
    <w:tmpl w:val="B50AF36A"/>
    <w:lvl w:ilvl="0" w:tplc="DAA803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423D06">
      <w:start w:val="1"/>
      <w:numFmt w:val="lowerLetter"/>
      <w:lvlText w:val="%2."/>
      <w:lvlJc w:val="left"/>
      <w:pPr>
        <w:ind w:left="1440" w:hanging="360"/>
      </w:pPr>
    </w:lvl>
    <w:lvl w:ilvl="2" w:tplc="8924C016">
      <w:start w:val="1"/>
      <w:numFmt w:val="lowerRoman"/>
      <w:lvlText w:val="%3."/>
      <w:lvlJc w:val="right"/>
      <w:pPr>
        <w:ind w:left="2160" w:hanging="180"/>
      </w:pPr>
    </w:lvl>
    <w:lvl w:ilvl="3" w:tplc="95544784">
      <w:start w:val="1"/>
      <w:numFmt w:val="decimal"/>
      <w:lvlText w:val="%4."/>
      <w:lvlJc w:val="left"/>
      <w:pPr>
        <w:ind w:left="2880" w:hanging="360"/>
      </w:pPr>
    </w:lvl>
    <w:lvl w:ilvl="4" w:tplc="25FCB6EA">
      <w:start w:val="1"/>
      <w:numFmt w:val="lowerLetter"/>
      <w:lvlText w:val="%5."/>
      <w:lvlJc w:val="left"/>
      <w:pPr>
        <w:ind w:left="3600" w:hanging="360"/>
      </w:pPr>
    </w:lvl>
    <w:lvl w:ilvl="5" w:tplc="C970723A">
      <w:start w:val="1"/>
      <w:numFmt w:val="lowerRoman"/>
      <w:lvlText w:val="%6."/>
      <w:lvlJc w:val="right"/>
      <w:pPr>
        <w:ind w:left="4320" w:hanging="180"/>
      </w:pPr>
    </w:lvl>
    <w:lvl w:ilvl="6" w:tplc="8C5E5726">
      <w:start w:val="1"/>
      <w:numFmt w:val="decimal"/>
      <w:lvlText w:val="%7."/>
      <w:lvlJc w:val="left"/>
      <w:pPr>
        <w:ind w:left="5040" w:hanging="360"/>
      </w:pPr>
    </w:lvl>
    <w:lvl w:ilvl="7" w:tplc="E7E2476C">
      <w:start w:val="1"/>
      <w:numFmt w:val="lowerLetter"/>
      <w:lvlText w:val="%8."/>
      <w:lvlJc w:val="left"/>
      <w:pPr>
        <w:ind w:left="5760" w:hanging="360"/>
      </w:pPr>
    </w:lvl>
    <w:lvl w:ilvl="8" w:tplc="735E39F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0390F"/>
    <w:multiLevelType w:val="multilevel"/>
    <w:tmpl w:val="ACA248C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8747024"/>
    <w:multiLevelType w:val="hybridMultilevel"/>
    <w:tmpl w:val="E4120432"/>
    <w:lvl w:ilvl="0" w:tplc="6C2C3F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DBAE53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01CEF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581F3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C4A2A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6B450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E84A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E4BD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EFEB5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2D811F7"/>
    <w:multiLevelType w:val="multilevel"/>
    <w:tmpl w:val="78DCF554"/>
    <w:lvl w:ilvl="0">
      <w:start w:val="6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-567" w:firstLine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47"/>
        </w:tabs>
        <w:ind w:left="1560" w:firstLine="567"/>
      </w:pPr>
      <w:rPr>
        <w:rFonts w:cs="Times New Roman" w:hint="default"/>
      </w:rPr>
    </w:lvl>
    <w:lvl w:ilvl="3">
      <w:start w:val="1"/>
      <w:numFmt w:val="decimal"/>
      <w:lvlText w:val="%1.%2.4.%4."/>
      <w:lvlJc w:val="left"/>
      <w:pPr>
        <w:tabs>
          <w:tab w:val="num" w:pos="1287"/>
        </w:tabs>
        <w:ind w:firstLine="567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16351A74"/>
    <w:multiLevelType w:val="hybridMultilevel"/>
    <w:tmpl w:val="1BAE5914"/>
    <w:lvl w:ilvl="0" w:tplc="D6D2BA6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8619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C4F0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446DD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25E50B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74DC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38DB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BE93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3A26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80061CA"/>
    <w:multiLevelType w:val="multilevel"/>
    <w:tmpl w:val="43BA9730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30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3000" w:hanging="1440"/>
      </w:pPr>
      <w:rPr>
        <w:rFonts w:ascii="Tahoma" w:hAnsi="Tahoma" w:cs="Tahoma" w:hint="default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436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1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255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2160"/>
      </w:pPr>
      <w:rPr>
        <w:rFonts w:cs="Times New Roman" w:hint="default"/>
      </w:rPr>
    </w:lvl>
  </w:abstractNum>
  <w:abstractNum w:abstractNumId="6" w15:restartNumberingAfterBreak="0">
    <w:nsid w:val="18453D9F"/>
    <w:multiLevelType w:val="hybridMultilevel"/>
    <w:tmpl w:val="655CFDF4"/>
    <w:lvl w:ilvl="0" w:tplc="2A80E1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70D17E">
      <w:start w:val="1"/>
      <w:numFmt w:val="lowerLetter"/>
      <w:lvlText w:val="%2."/>
      <w:lvlJc w:val="left"/>
      <w:pPr>
        <w:ind w:left="1440" w:hanging="360"/>
      </w:pPr>
    </w:lvl>
    <w:lvl w:ilvl="2" w:tplc="69682542">
      <w:start w:val="1"/>
      <w:numFmt w:val="lowerRoman"/>
      <w:lvlText w:val="%3."/>
      <w:lvlJc w:val="right"/>
      <w:pPr>
        <w:ind w:left="2160" w:hanging="180"/>
      </w:pPr>
    </w:lvl>
    <w:lvl w:ilvl="3" w:tplc="ADBED5A2">
      <w:start w:val="1"/>
      <w:numFmt w:val="decimal"/>
      <w:lvlText w:val="%4."/>
      <w:lvlJc w:val="left"/>
      <w:pPr>
        <w:ind w:left="2880" w:hanging="360"/>
      </w:pPr>
    </w:lvl>
    <w:lvl w:ilvl="4" w:tplc="5142A740">
      <w:start w:val="1"/>
      <w:numFmt w:val="lowerLetter"/>
      <w:lvlText w:val="%5."/>
      <w:lvlJc w:val="left"/>
      <w:pPr>
        <w:ind w:left="3600" w:hanging="360"/>
      </w:pPr>
    </w:lvl>
    <w:lvl w:ilvl="5" w:tplc="EF3C9032">
      <w:start w:val="1"/>
      <w:numFmt w:val="lowerRoman"/>
      <w:lvlText w:val="%6."/>
      <w:lvlJc w:val="right"/>
      <w:pPr>
        <w:ind w:left="4320" w:hanging="180"/>
      </w:pPr>
    </w:lvl>
    <w:lvl w:ilvl="6" w:tplc="5EAC7DB2">
      <w:start w:val="1"/>
      <w:numFmt w:val="decimal"/>
      <w:lvlText w:val="%7."/>
      <w:lvlJc w:val="left"/>
      <w:pPr>
        <w:ind w:left="5040" w:hanging="360"/>
      </w:pPr>
    </w:lvl>
    <w:lvl w:ilvl="7" w:tplc="9FCC015C">
      <w:start w:val="1"/>
      <w:numFmt w:val="lowerLetter"/>
      <w:lvlText w:val="%8."/>
      <w:lvlJc w:val="left"/>
      <w:pPr>
        <w:ind w:left="5760" w:hanging="360"/>
      </w:pPr>
    </w:lvl>
    <w:lvl w:ilvl="8" w:tplc="8E5619F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2F13ED"/>
    <w:multiLevelType w:val="hybridMultilevel"/>
    <w:tmpl w:val="63E4B1A0"/>
    <w:lvl w:ilvl="0" w:tplc="E598BD38">
      <w:start w:val="1"/>
      <w:numFmt w:val="decimal"/>
      <w:lvlText w:val="6.10.%1."/>
      <w:lvlJc w:val="left"/>
      <w:pPr>
        <w:ind w:left="1854" w:hanging="360"/>
      </w:pPr>
      <w:rPr>
        <w:rFonts w:hint="default"/>
      </w:rPr>
    </w:lvl>
    <w:lvl w:ilvl="1" w:tplc="9FA4CE8E">
      <w:start w:val="1"/>
      <w:numFmt w:val="decimal"/>
      <w:lvlText w:val="6.10.%2."/>
      <w:lvlJc w:val="left"/>
      <w:pPr>
        <w:ind w:left="1440" w:hanging="360"/>
      </w:pPr>
      <w:rPr>
        <w:rFonts w:hint="default"/>
      </w:rPr>
    </w:lvl>
    <w:lvl w:ilvl="2" w:tplc="D30AE550">
      <w:start w:val="1"/>
      <w:numFmt w:val="lowerRoman"/>
      <w:lvlText w:val="%3."/>
      <w:lvlJc w:val="right"/>
      <w:pPr>
        <w:ind w:left="2160" w:hanging="180"/>
      </w:pPr>
    </w:lvl>
    <w:lvl w:ilvl="3" w:tplc="F1606FB4">
      <w:start w:val="1"/>
      <w:numFmt w:val="decimal"/>
      <w:lvlText w:val="%4."/>
      <w:lvlJc w:val="left"/>
      <w:pPr>
        <w:ind w:left="2880" w:hanging="360"/>
      </w:pPr>
    </w:lvl>
    <w:lvl w:ilvl="4" w:tplc="D60C34BC">
      <w:start w:val="1"/>
      <w:numFmt w:val="lowerLetter"/>
      <w:lvlText w:val="%5."/>
      <w:lvlJc w:val="left"/>
      <w:pPr>
        <w:ind w:left="3600" w:hanging="360"/>
      </w:pPr>
    </w:lvl>
    <w:lvl w:ilvl="5" w:tplc="915E4AD8">
      <w:start w:val="1"/>
      <w:numFmt w:val="lowerRoman"/>
      <w:lvlText w:val="%6."/>
      <w:lvlJc w:val="right"/>
      <w:pPr>
        <w:ind w:left="4320" w:hanging="180"/>
      </w:pPr>
    </w:lvl>
    <w:lvl w:ilvl="6" w:tplc="CCF8C8D8">
      <w:start w:val="1"/>
      <w:numFmt w:val="decimal"/>
      <w:lvlText w:val="%7."/>
      <w:lvlJc w:val="left"/>
      <w:pPr>
        <w:ind w:left="5040" w:hanging="360"/>
      </w:pPr>
    </w:lvl>
    <w:lvl w:ilvl="7" w:tplc="7E4467DE">
      <w:start w:val="1"/>
      <w:numFmt w:val="lowerLetter"/>
      <w:lvlText w:val="%8."/>
      <w:lvlJc w:val="left"/>
      <w:pPr>
        <w:ind w:left="5760" w:hanging="360"/>
      </w:pPr>
    </w:lvl>
    <w:lvl w:ilvl="8" w:tplc="29FE5F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2741B"/>
    <w:multiLevelType w:val="multilevel"/>
    <w:tmpl w:val="9D6EF0E2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146" w:hanging="720"/>
      </w:pPr>
      <w:rPr>
        <w:rFonts w:ascii="Symbol" w:hAnsi="Symbol" w:hint="default"/>
        <w:b w:val="0"/>
        <w:i w:val="0"/>
        <w:color w:val="auto"/>
        <w:sz w:val="22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9" w15:restartNumberingAfterBreak="0">
    <w:nsid w:val="3BB843AB"/>
    <w:multiLevelType w:val="hybridMultilevel"/>
    <w:tmpl w:val="7BAA9BC4"/>
    <w:lvl w:ilvl="0" w:tplc="4780613A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6050422A">
      <w:start w:val="1"/>
      <w:numFmt w:val="lowerLetter"/>
      <w:lvlText w:val="%2."/>
      <w:lvlJc w:val="left"/>
      <w:pPr>
        <w:ind w:left="1268" w:hanging="360"/>
      </w:pPr>
    </w:lvl>
    <w:lvl w:ilvl="2" w:tplc="BC129042">
      <w:start w:val="1"/>
      <w:numFmt w:val="lowerRoman"/>
      <w:lvlText w:val="%3."/>
      <w:lvlJc w:val="right"/>
      <w:pPr>
        <w:ind w:left="1988" w:hanging="180"/>
      </w:pPr>
    </w:lvl>
    <w:lvl w:ilvl="3" w:tplc="ADCA8B88">
      <w:start w:val="1"/>
      <w:numFmt w:val="decimal"/>
      <w:lvlText w:val="%4."/>
      <w:lvlJc w:val="left"/>
      <w:pPr>
        <w:ind w:left="2708" w:hanging="360"/>
      </w:pPr>
    </w:lvl>
    <w:lvl w:ilvl="4" w:tplc="4A24DA40">
      <w:start w:val="1"/>
      <w:numFmt w:val="lowerLetter"/>
      <w:lvlText w:val="%5."/>
      <w:lvlJc w:val="left"/>
      <w:pPr>
        <w:ind w:left="3428" w:hanging="360"/>
      </w:pPr>
    </w:lvl>
    <w:lvl w:ilvl="5" w:tplc="7F2AE410">
      <w:start w:val="1"/>
      <w:numFmt w:val="lowerRoman"/>
      <w:lvlText w:val="%6."/>
      <w:lvlJc w:val="right"/>
      <w:pPr>
        <w:ind w:left="4148" w:hanging="180"/>
      </w:pPr>
    </w:lvl>
    <w:lvl w:ilvl="6" w:tplc="B4B4D0D4">
      <w:start w:val="1"/>
      <w:numFmt w:val="decimal"/>
      <w:lvlText w:val="%7."/>
      <w:lvlJc w:val="left"/>
      <w:pPr>
        <w:ind w:left="4868" w:hanging="360"/>
      </w:pPr>
    </w:lvl>
    <w:lvl w:ilvl="7" w:tplc="D584B744">
      <w:start w:val="1"/>
      <w:numFmt w:val="lowerLetter"/>
      <w:lvlText w:val="%8."/>
      <w:lvlJc w:val="left"/>
      <w:pPr>
        <w:ind w:left="5588" w:hanging="360"/>
      </w:pPr>
    </w:lvl>
    <w:lvl w:ilvl="8" w:tplc="5C8E077C">
      <w:start w:val="1"/>
      <w:numFmt w:val="lowerRoman"/>
      <w:lvlText w:val="%9."/>
      <w:lvlJc w:val="right"/>
      <w:pPr>
        <w:ind w:left="6308" w:hanging="180"/>
      </w:pPr>
    </w:lvl>
  </w:abstractNum>
  <w:abstractNum w:abstractNumId="10" w15:restartNumberingAfterBreak="0">
    <w:nsid w:val="3D733339"/>
    <w:multiLevelType w:val="hybridMultilevel"/>
    <w:tmpl w:val="C094A072"/>
    <w:lvl w:ilvl="0" w:tplc="D3784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E723BC0">
      <w:start w:val="1"/>
      <w:numFmt w:val="lowerLetter"/>
      <w:lvlText w:val="%2."/>
      <w:lvlJc w:val="left"/>
      <w:pPr>
        <w:ind w:left="1440" w:hanging="360"/>
      </w:pPr>
    </w:lvl>
    <w:lvl w:ilvl="2" w:tplc="894CC81E">
      <w:start w:val="1"/>
      <w:numFmt w:val="lowerRoman"/>
      <w:lvlText w:val="%3."/>
      <w:lvlJc w:val="right"/>
      <w:pPr>
        <w:ind w:left="2160" w:hanging="180"/>
      </w:pPr>
    </w:lvl>
    <w:lvl w:ilvl="3" w:tplc="B636A380">
      <w:start w:val="1"/>
      <w:numFmt w:val="decimal"/>
      <w:lvlText w:val="%4."/>
      <w:lvlJc w:val="left"/>
      <w:pPr>
        <w:ind w:left="2880" w:hanging="360"/>
      </w:pPr>
    </w:lvl>
    <w:lvl w:ilvl="4" w:tplc="EF68F4E0">
      <w:start w:val="1"/>
      <w:numFmt w:val="lowerLetter"/>
      <w:lvlText w:val="%5."/>
      <w:lvlJc w:val="left"/>
      <w:pPr>
        <w:ind w:left="3600" w:hanging="360"/>
      </w:pPr>
    </w:lvl>
    <w:lvl w:ilvl="5" w:tplc="E280FD92">
      <w:start w:val="1"/>
      <w:numFmt w:val="lowerRoman"/>
      <w:lvlText w:val="%6."/>
      <w:lvlJc w:val="right"/>
      <w:pPr>
        <w:ind w:left="4320" w:hanging="180"/>
      </w:pPr>
    </w:lvl>
    <w:lvl w:ilvl="6" w:tplc="70C6DB2C">
      <w:start w:val="1"/>
      <w:numFmt w:val="decimal"/>
      <w:lvlText w:val="%7."/>
      <w:lvlJc w:val="left"/>
      <w:pPr>
        <w:ind w:left="5040" w:hanging="360"/>
      </w:pPr>
    </w:lvl>
    <w:lvl w:ilvl="7" w:tplc="D37A6CE0">
      <w:start w:val="1"/>
      <w:numFmt w:val="lowerLetter"/>
      <w:lvlText w:val="%8."/>
      <w:lvlJc w:val="left"/>
      <w:pPr>
        <w:ind w:left="5760" w:hanging="360"/>
      </w:pPr>
    </w:lvl>
    <w:lvl w:ilvl="8" w:tplc="35242C26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55DD4"/>
    <w:multiLevelType w:val="hybridMultilevel"/>
    <w:tmpl w:val="A34E9490"/>
    <w:lvl w:ilvl="0" w:tplc="F5568944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 w:tplc="8098C24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421A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D5891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E60D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4AF11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C68C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7AAB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B4CD3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49A92B0E"/>
    <w:multiLevelType w:val="multilevel"/>
    <w:tmpl w:val="CE1A34F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88831C7"/>
    <w:multiLevelType w:val="multilevel"/>
    <w:tmpl w:val="D8141C56"/>
    <w:lvl w:ilvl="0">
      <w:start w:val="1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24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8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11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cs="Times New Roman" w:hint="default"/>
      </w:rPr>
    </w:lvl>
  </w:abstractNum>
  <w:abstractNum w:abstractNumId="14" w15:restartNumberingAfterBreak="0">
    <w:nsid w:val="58CF4FAD"/>
    <w:multiLevelType w:val="multilevel"/>
    <w:tmpl w:val="888E4A78"/>
    <w:lvl w:ilvl="0">
      <w:start w:val="7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ascii="Tahoma" w:hAnsi="Tahoma" w:cs="Tahoma"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15" w15:restartNumberingAfterBreak="0">
    <w:nsid w:val="5F673C5B"/>
    <w:multiLevelType w:val="hybridMultilevel"/>
    <w:tmpl w:val="577CBAC0"/>
    <w:lvl w:ilvl="0" w:tplc="E54C4E7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67BAD0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90A6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B6086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7A6B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A9E45B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D617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580ED9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AC92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E98027E"/>
    <w:multiLevelType w:val="hybridMultilevel"/>
    <w:tmpl w:val="7AEC481E"/>
    <w:lvl w:ilvl="0" w:tplc="119E537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8AC677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A94A5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7672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ADA2A7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7CCAAE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FAFC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E7085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5CB0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7B3B5487"/>
    <w:multiLevelType w:val="hybridMultilevel"/>
    <w:tmpl w:val="21923662"/>
    <w:lvl w:ilvl="0" w:tplc="DE62E4B8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21DEC5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2416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96DEE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9EA6E6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E08F37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3C9E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624A2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5C9BE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7C4B0CBC"/>
    <w:multiLevelType w:val="multilevel"/>
    <w:tmpl w:val="2F2896AE"/>
    <w:lvl w:ilvl="0">
      <w:start w:val="6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158" w:hanging="78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536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6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84" w:hanging="2160"/>
      </w:pPr>
      <w:rPr>
        <w:rFonts w:hint="default"/>
      </w:rPr>
    </w:lvl>
  </w:abstractNum>
  <w:abstractNum w:abstractNumId="19" w15:restartNumberingAfterBreak="0">
    <w:nsid w:val="7ECA6B66"/>
    <w:multiLevelType w:val="hybridMultilevel"/>
    <w:tmpl w:val="C8701430"/>
    <w:lvl w:ilvl="0" w:tplc="B644D23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756C61E">
      <w:start w:val="1"/>
      <w:numFmt w:val="lowerLetter"/>
      <w:lvlText w:val="%2."/>
      <w:lvlJc w:val="left"/>
      <w:pPr>
        <w:ind w:left="1256" w:hanging="360"/>
      </w:pPr>
    </w:lvl>
    <w:lvl w:ilvl="2" w:tplc="241CA126">
      <w:start w:val="1"/>
      <w:numFmt w:val="lowerRoman"/>
      <w:lvlText w:val="%3."/>
      <w:lvlJc w:val="right"/>
      <w:pPr>
        <w:ind w:left="1976" w:hanging="180"/>
      </w:pPr>
    </w:lvl>
    <w:lvl w:ilvl="3" w:tplc="A6DA9D1C">
      <w:start w:val="1"/>
      <w:numFmt w:val="decimal"/>
      <w:lvlText w:val="%4."/>
      <w:lvlJc w:val="left"/>
      <w:pPr>
        <w:ind w:left="2696" w:hanging="360"/>
      </w:pPr>
    </w:lvl>
    <w:lvl w:ilvl="4" w:tplc="A274A55C">
      <w:start w:val="1"/>
      <w:numFmt w:val="lowerLetter"/>
      <w:lvlText w:val="%5."/>
      <w:lvlJc w:val="left"/>
      <w:pPr>
        <w:ind w:left="3416" w:hanging="360"/>
      </w:pPr>
    </w:lvl>
    <w:lvl w:ilvl="5" w:tplc="260621AA">
      <w:start w:val="1"/>
      <w:numFmt w:val="lowerRoman"/>
      <w:lvlText w:val="%6."/>
      <w:lvlJc w:val="right"/>
      <w:pPr>
        <w:ind w:left="4136" w:hanging="180"/>
      </w:pPr>
    </w:lvl>
    <w:lvl w:ilvl="6" w:tplc="F00E0702">
      <w:start w:val="1"/>
      <w:numFmt w:val="decimal"/>
      <w:lvlText w:val="%7."/>
      <w:lvlJc w:val="left"/>
      <w:pPr>
        <w:ind w:left="4856" w:hanging="360"/>
      </w:pPr>
    </w:lvl>
    <w:lvl w:ilvl="7" w:tplc="1916DE88">
      <w:start w:val="1"/>
      <w:numFmt w:val="lowerLetter"/>
      <w:lvlText w:val="%8."/>
      <w:lvlJc w:val="left"/>
      <w:pPr>
        <w:ind w:left="5576" w:hanging="360"/>
      </w:pPr>
    </w:lvl>
    <w:lvl w:ilvl="8" w:tplc="A4CEEEF8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7F5A024C"/>
    <w:multiLevelType w:val="hybridMultilevel"/>
    <w:tmpl w:val="88F0F724"/>
    <w:lvl w:ilvl="0" w:tplc="C78A9D6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738662F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6089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02206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B4D5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C7896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52C89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408E8A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D847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4"/>
  </w:num>
  <w:num w:numId="2">
    <w:abstractNumId w:val="15"/>
  </w:num>
  <w:num w:numId="3">
    <w:abstractNumId w:val="20"/>
  </w:num>
  <w:num w:numId="4">
    <w:abstractNumId w:val="17"/>
  </w:num>
  <w:num w:numId="5">
    <w:abstractNumId w:val="11"/>
  </w:num>
  <w:num w:numId="6">
    <w:abstractNumId w:val="2"/>
  </w:num>
  <w:num w:numId="7">
    <w:abstractNumId w:val="16"/>
  </w:num>
  <w:num w:numId="8">
    <w:abstractNumId w:val="10"/>
  </w:num>
  <w:num w:numId="9">
    <w:abstractNumId w:val="6"/>
  </w:num>
  <w:num w:numId="10">
    <w:abstractNumId w:val="9"/>
  </w:num>
  <w:num w:numId="11">
    <w:abstractNumId w:val="19"/>
  </w:num>
  <w:num w:numId="12">
    <w:abstractNumId w:val="0"/>
  </w:num>
  <w:num w:numId="13">
    <w:abstractNumId w:val="5"/>
  </w:num>
  <w:num w:numId="14">
    <w:abstractNumId w:val="14"/>
  </w:num>
  <w:num w:numId="15">
    <w:abstractNumId w:val="8"/>
  </w:num>
  <w:num w:numId="16">
    <w:abstractNumId w:val="3"/>
  </w:num>
  <w:num w:numId="17">
    <w:abstractNumId w:val="7"/>
  </w:num>
  <w:num w:numId="18">
    <w:abstractNumId w:val="18"/>
  </w:num>
  <w:num w:numId="19">
    <w:abstractNumId w:val="1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55E"/>
    <w:rsid w:val="00067BFB"/>
    <w:rsid w:val="00111163"/>
    <w:rsid w:val="0021655E"/>
    <w:rsid w:val="003F0D85"/>
    <w:rsid w:val="005A14A1"/>
    <w:rsid w:val="0060677B"/>
    <w:rsid w:val="00733DEE"/>
    <w:rsid w:val="00887E8A"/>
    <w:rsid w:val="008C0AA9"/>
    <w:rsid w:val="00A57BDA"/>
    <w:rsid w:val="00B353EE"/>
    <w:rsid w:val="00C34DCC"/>
    <w:rsid w:val="00D16155"/>
    <w:rsid w:val="00D8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80318F-A13D-41D8-B794-E83317101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Franklin Gothic Medium" w:hAnsi="Franklin Gothic Medium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jc w:val="center"/>
      <w:outlineLvl w:val="0"/>
    </w:pPr>
    <w:rPr>
      <w:rFonts w:cs="Tahoma"/>
      <w:b/>
      <w:bCs/>
      <w:color w:val="336699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jc w:val="center"/>
      <w:outlineLvl w:val="1"/>
    </w:pPr>
    <w:rPr>
      <w:rFonts w:cs="Arial"/>
      <w:b/>
      <w:bCs/>
      <w:i/>
      <w:iCs/>
      <w:color w:val="336699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jc w:val="center"/>
      <w:outlineLvl w:val="2"/>
    </w:pPr>
    <w:rPr>
      <w:rFonts w:cs="Arial"/>
      <w:b/>
      <w:bCs/>
      <w:color w:val="336699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Название Знак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aa">
    <w:name w:val="Верхний колонтитул Знак"/>
    <w:basedOn w:val="a0"/>
    <w:link w:val="ab"/>
    <w:uiPriority w:val="99"/>
  </w:style>
  <w:style w:type="character" w:customStyle="1" w:styleId="ac">
    <w:name w:val="Нижний колонтитул Знак"/>
    <w:basedOn w:val="a0"/>
    <w:link w:val="ad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Title"/>
    <w:basedOn w:val="a"/>
    <w:link w:val="a4"/>
    <w:qFormat/>
    <w:pPr>
      <w:spacing w:before="240" w:after="60"/>
      <w:jc w:val="center"/>
      <w:outlineLvl w:val="0"/>
    </w:pPr>
    <w:rPr>
      <w:rFonts w:cs="Arial"/>
      <w:b/>
      <w:bCs/>
      <w:color w:val="336699"/>
      <w:sz w:val="32"/>
      <w:szCs w:val="32"/>
    </w:rPr>
  </w:style>
  <w:style w:type="paragraph" w:styleId="ab">
    <w:name w:val="header"/>
    <w:basedOn w:val="a"/>
    <w:link w:val="aa"/>
    <w:pPr>
      <w:tabs>
        <w:tab w:val="center" w:pos="4677"/>
        <w:tab w:val="right" w:pos="9355"/>
      </w:tabs>
    </w:pPr>
  </w:style>
  <w:style w:type="paragraph" w:styleId="ad">
    <w:name w:val="footer"/>
    <w:basedOn w:val="a"/>
    <w:link w:val="ac"/>
    <w:pPr>
      <w:tabs>
        <w:tab w:val="center" w:pos="4677"/>
        <w:tab w:val="right" w:pos="9355"/>
      </w:tabs>
    </w:pPr>
  </w:style>
  <w:style w:type="character" w:styleId="af9">
    <w:name w:val="page number"/>
    <w:basedOn w:val="a0"/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nhideWhenUsed/>
    <w:rPr>
      <w:color w:val="0000FF" w:themeColor="hyperlink"/>
      <w:u w:val="single"/>
    </w:rPr>
  </w:style>
  <w:style w:type="paragraph" w:styleId="afc">
    <w:name w:val="Balloon Text"/>
    <w:basedOn w:val="a"/>
    <w:link w:val="afd"/>
    <w:semiHidden/>
    <w:unhideWhenUsed/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Pr>
      <w:rFonts w:ascii="Segoe UI" w:hAnsi="Segoe UI" w:cs="Segoe UI"/>
      <w:sz w:val="18"/>
      <w:szCs w:val="18"/>
      <w:lang w:val="ru-RU" w:eastAsia="ru-RU"/>
    </w:rPr>
  </w:style>
  <w:style w:type="character" w:customStyle="1" w:styleId="13">
    <w:name w:val="Знак примечания1"/>
    <w:rPr>
      <w:sz w:val="16"/>
      <w:szCs w:val="16"/>
    </w:rPr>
  </w:style>
  <w:style w:type="paragraph" w:customStyle="1" w:styleId="310">
    <w:name w:val="Основной текст 31"/>
    <w:basedOn w:val="a"/>
    <w:pPr>
      <w:widowControl w:val="0"/>
      <w:tabs>
        <w:tab w:val="left" w:pos="709"/>
      </w:tabs>
      <w:jc w:val="both"/>
    </w:pPr>
    <w:rPr>
      <w:rFonts w:ascii="Times New Roman" w:eastAsia="Lucida Sans Unicode" w:hAnsi="Times New Roman"/>
      <w:sz w:val="21"/>
    </w:rPr>
  </w:style>
  <w:style w:type="paragraph" w:styleId="25">
    <w:name w:val="Body Text Indent 2"/>
    <w:basedOn w:val="a"/>
    <w:link w:val="26"/>
    <w:uiPriority w:val="99"/>
    <w:pPr>
      <w:ind w:left="360"/>
    </w:pPr>
    <w:rPr>
      <w:rFonts w:ascii="Times New Roman" w:hAnsi="Times New Roman"/>
      <w:b/>
      <w:bCs/>
      <w:sz w:val="32"/>
    </w:rPr>
  </w:style>
  <w:style w:type="character" w:customStyle="1" w:styleId="26">
    <w:name w:val="Основной текст с отступом 2 Знак"/>
    <w:basedOn w:val="a0"/>
    <w:link w:val="25"/>
    <w:uiPriority w:val="99"/>
    <w:rPr>
      <w:b/>
      <w:bCs/>
      <w:sz w:val="32"/>
      <w:szCs w:val="24"/>
      <w:lang w:val="ru-RU" w:eastAsia="ru-RU"/>
    </w:rPr>
  </w:style>
  <w:style w:type="paragraph" w:styleId="27">
    <w:name w:val="Body Text 2"/>
    <w:basedOn w:val="a"/>
    <w:link w:val="28"/>
    <w:pPr>
      <w:widowControl w:val="0"/>
      <w:numPr>
        <w:ilvl w:val="12"/>
      </w:numPr>
      <w:tabs>
        <w:tab w:val="left" w:pos="284"/>
      </w:tabs>
      <w:jc w:val="both"/>
    </w:pPr>
    <w:rPr>
      <w:rFonts w:ascii="Tahoma" w:hAnsi="Tahoma"/>
      <w:sz w:val="18"/>
      <w:szCs w:val="20"/>
    </w:rPr>
  </w:style>
  <w:style w:type="character" w:customStyle="1" w:styleId="28">
    <w:name w:val="Основной текст 2 Знак"/>
    <w:basedOn w:val="a0"/>
    <w:link w:val="27"/>
    <w:rPr>
      <w:rFonts w:ascii="Tahoma" w:hAnsi="Tahoma"/>
      <w:sz w:val="18"/>
      <w:lang w:val="ru-RU" w:eastAsia="ru-RU"/>
    </w:rPr>
  </w:style>
  <w:style w:type="character" w:styleId="afe">
    <w:name w:val="annotation reference"/>
    <w:basedOn w:val="a0"/>
    <w:semiHidden/>
    <w:unhideWhenUsed/>
    <w:rPr>
      <w:sz w:val="16"/>
      <w:szCs w:val="16"/>
    </w:rPr>
  </w:style>
  <w:style w:type="paragraph" w:styleId="aff">
    <w:name w:val="annotation text"/>
    <w:basedOn w:val="a"/>
    <w:link w:val="aff0"/>
    <w:semiHidden/>
    <w:unhideWhenUsed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semiHidden/>
    <w:rPr>
      <w:rFonts w:ascii="Franklin Gothic Medium" w:hAnsi="Franklin Gothic Medium"/>
      <w:lang w:val="ru-RU" w:eastAsia="ru-RU"/>
    </w:rPr>
  </w:style>
  <w:style w:type="paragraph" w:styleId="aff1">
    <w:name w:val="annotation subject"/>
    <w:basedOn w:val="aff"/>
    <w:next w:val="aff"/>
    <w:link w:val="aff2"/>
    <w:semiHidden/>
    <w:unhideWhenUsed/>
    <w:rPr>
      <w:b/>
      <w:bCs/>
    </w:rPr>
  </w:style>
  <w:style w:type="character" w:customStyle="1" w:styleId="aff2">
    <w:name w:val="Тема примечания Знак"/>
    <w:basedOn w:val="aff0"/>
    <w:link w:val="aff1"/>
    <w:semiHidden/>
    <w:rPr>
      <w:rFonts w:ascii="Franklin Gothic Medium" w:hAnsi="Franklin Gothic Medium"/>
      <w:b/>
      <w:bCs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://www.finombudsma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sk-ins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gif"/><Relationship Id="rId4" Type="http://schemas.openxmlformats.org/officeDocument/2006/relationships/webSettings" Target="webSettings.xml"/><Relationship Id="rId9" Type="http://schemas.openxmlformats.org/officeDocument/2006/relationships/image" Target="media/image10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SK 'Samara-ASKO'</Company>
  <LinksUpToDate>false</LinksUpToDate>
  <CharactersWithSpaces>10449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Дудин</dc:creator>
  <cp:lastModifiedBy>Ульяна В. Шарова</cp:lastModifiedBy>
  <cp:revision>2</cp:revision>
  <dcterms:created xsi:type="dcterms:W3CDTF">2026-10-12T11:26:00Z</dcterms:created>
  <dcterms:modified xsi:type="dcterms:W3CDTF">2026-10-12T11:26:00Z</dcterms:modified>
</cp:coreProperties>
</file>